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6E" w:rsidRDefault="00036C6E" w:rsidP="00036C6E">
      <w:pPr>
        <w:pStyle w:val="Title"/>
      </w:pPr>
      <w:r>
        <w:t>MAMP 505: Deployments</w:t>
      </w:r>
    </w:p>
    <w:p w:rsidR="00036C6E" w:rsidRDefault="00036C6E" w:rsidP="00036C6E">
      <w:pPr>
        <w:pStyle w:val="Heading2"/>
      </w:pPr>
      <w:r>
        <w:t>1.1 Deployments</w:t>
      </w:r>
    </w:p>
    <w:p w:rsidR="00036C6E" w:rsidRDefault="00F03885" w:rsidP="00036C6E">
      <w:r>
        <w:rPr>
          <w:noProof/>
          <w:lang w:eastAsia="en-US"/>
        </w:rPr>
        <w:drawing>
          <wp:inline distT="0" distB="0" distL="0" distR="0">
            <wp:extent cx="3714750" cy="2781300"/>
            <wp:effectExtent l="0" t="0" r="0" b="0"/>
            <wp:docPr id="2" name="Picture 2" descr="Camoufl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IgVuqyLNI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036C6E" w:rsidRDefault="00036C6E" w:rsidP="00036C6E">
      <w:pPr>
        <w:pStyle w:val="Heading2"/>
      </w:pPr>
      <w:r>
        <w:t>1.2 Impact of Multiple Deployments…</w:t>
      </w:r>
    </w:p>
    <w:p w:rsidR="00036C6E" w:rsidRDefault="00F03885" w:rsidP="00036C6E">
      <w:r>
        <w:rPr>
          <w:noProof/>
          <w:lang w:eastAsia="en-US"/>
        </w:rPr>
        <w:drawing>
          <wp:inline distT="0" distB="0" distL="0" distR="0">
            <wp:extent cx="3714750" cy="2781300"/>
            <wp:effectExtent l="0" t="0" r="0" b="0"/>
            <wp:docPr id="3" name="Picture 3" descr="Camoufla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qaz4hMOH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036C6E" w:rsidRDefault="00036C6E" w:rsidP="00036C6E">
      <w:pPr>
        <w:rPr>
          <w:b/>
        </w:rPr>
      </w:pPr>
      <w:r>
        <w:rPr>
          <w:b/>
        </w:rPr>
        <w:t>Notes:</w:t>
      </w:r>
    </w:p>
    <w:p w:rsidR="00036C6E" w:rsidRDefault="00036C6E">
      <w:pPr>
        <w:widowControl w:val="0"/>
        <w:autoSpaceDE w:val="0"/>
        <w:autoSpaceDN w:val="0"/>
        <w:adjustRightInd w:val="0"/>
        <w:spacing w:after="0" w:line="240" w:lineRule="auto"/>
        <w:rPr>
          <w:rFonts w:ascii="Helvetica LT Std" w:hAnsi="Helvetica LT Std" w:cs="Helvetica LT Std"/>
          <w:b/>
          <w:bCs/>
          <w:kern w:val="24"/>
          <w:sz w:val="18"/>
          <w:szCs w:val="18"/>
        </w:rPr>
      </w:pPr>
      <w:r>
        <w:rPr>
          <w:rFonts w:ascii="Helvetica LT Std" w:hAnsi="Helvetica LT Std" w:cs="Helvetica LT Std"/>
          <w:b/>
          <w:bCs/>
          <w:kern w:val="24"/>
          <w:sz w:val="18"/>
          <w:szCs w:val="18"/>
        </w:rPr>
        <w:t>Impact of Multiple Deployments…</w:t>
      </w:r>
    </w:p>
    <w:p w:rsidR="00036C6E" w:rsidRDefault="00036C6E">
      <w:pPr>
        <w:widowControl w:val="0"/>
        <w:autoSpaceDE w:val="0"/>
        <w:autoSpaceDN w:val="0"/>
        <w:adjustRightInd w:val="0"/>
        <w:spacing w:after="0" w:line="240" w:lineRule="auto"/>
        <w:rPr>
          <w:rFonts w:ascii="Helvetica LT Std" w:hAnsi="Helvetica LT Std" w:cs="Helvetica LT Std"/>
          <w:b/>
          <w:bCs/>
          <w:kern w:val="24"/>
          <w:sz w:val="18"/>
          <w:szCs w:val="18"/>
        </w:rPr>
      </w:pPr>
    </w:p>
    <w:p w:rsidR="00036C6E" w:rsidRDefault="00036C6E">
      <w:pPr>
        <w:widowControl w:val="0"/>
        <w:autoSpaceDE w:val="0"/>
        <w:autoSpaceDN w:val="0"/>
        <w:adjustRightInd w:val="0"/>
        <w:spacing w:after="0"/>
        <w:rPr>
          <w:rFonts w:ascii="Helvetica LT Std" w:hAnsi="Helvetica LT Std" w:cs="Helvetica LT Std"/>
          <w:b/>
          <w:bCs/>
          <w:kern w:val="24"/>
          <w:sz w:val="18"/>
          <w:szCs w:val="18"/>
        </w:rPr>
      </w:pPr>
      <w:r>
        <w:rPr>
          <w:rFonts w:ascii="Helvetica LT Std" w:hAnsi="Helvetica LT Std" w:cs="Helvetica LT Std"/>
          <w:b/>
          <w:bCs/>
          <w:kern w:val="24"/>
          <w:sz w:val="18"/>
          <w:szCs w:val="18"/>
        </w:rPr>
        <w:t>"Today’s combination of increased frequency of deployments may present a major risk factor for contributing to the escalating rates of posttraumatic stress symptoms amongst Iraq and Afghanistan combat veterans."</w:t>
      </w:r>
    </w:p>
    <w:p w:rsidR="00036C6E" w:rsidRDefault="00036C6E">
      <w:pPr>
        <w:widowControl w:val="0"/>
        <w:autoSpaceDE w:val="0"/>
        <w:autoSpaceDN w:val="0"/>
        <w:adjustRightInd w:val="0"/>
        <w:spacing w:after="0"/>
        <w:ind w:left="540" w:hanging="540"/>
        <w:rPr>
          <w:rFonts w:ascii="Helvetica LT Std" w:hAnsi="Helvetica LT Std" w:cs="Helvetica LT Std"/>
          <w:b/>
          <w:bCs/>
          <w:kern w:val="24"/>
          <w:sz w:val="18"/>
          <w:szCs w:val="18"/>
        </w:rPr>
      </w:pPr>
    </w:p>
    <w:p w:rsidR="00036C6E" w:rsidRDefault="00036C6E">
      <w:pPr>
        <w:widowControl w:val="0"/>
        <w:autoSpaceDE w:val="0"/>
        <w:autoSpaceDN w:val="0"/>
        <w:adjustRightInd w:val="0"/>
        <w:spacing w:after="0"/>
        <w:ind w:left="540" w:hanging="540"/>
        <w:rPr>
          <w:rFonts w:ascii="Helvetica LT Std" w:hAnsi="Helvetica LT Std" w:cs="Helvetica LT Std"/>
          <w:b/>
          <w:bCs/>
          <w:kern w:val="24"/>
          <w:sz w:val="18"/>
          <w:szCs w:val="18"/>
        </w:rPr>
      </w:pPr>
      <w:r>
        <w:rPr>
          <w:rFonts w:ascii="Helvetica LT Std" w:hAnsi="Helvetica LT Std" w:cs="Helvetica LT Std"/>
          <w:b/>
          <w:bCs/>
          <w:kern w:val="24"/>
          <w:sz w:val="18"/>
          <w:szCs w:val="18"/>
        </w:rPr>
        <w:t>Medina, Norma (2010)</w:t>
      </w:r>
    </w:p>
    <w:p w:rsidR="00036C6E" w:rsidRDefault="00036C6E">
      <w:pPr>
        <w:widowControl w:val="0"/>
        <w:autoSpaceDE w:val="0"/>
        <w:autoSpaceDN w:val="0"/>
        <w:adjustRightInd w:val="0"/>
        <w:spacing w:after="0"/>
        <w:ind w:left="540" w:hanging="540"/>
        <w:rPr>
          <w:rFonts w:ascii="Helvetica LT Std" w:hAnsi="Helvetica LT Std" w:cs="Helvetica LT Std"/>
          <w:b/>
          <w:bCs/>
          <w:i/>
          <w:iCs/>
          <w:kern w:val="24"/>
          <w:sz w:val="18"/>
          <w:szCs w:val="18"/>
        </w:rPr>
      </w:pPr>
      <w:r>
        <w:rPr>
          <w:rFonts w:ascii="Helvetica LT Std" w:hAnsi="Helvetica LT Std" w:cs="Helvetica LT Std"/>
          <w:b/>
          <w:bCs/>
          <w:i/>
          <w:iCs/>
          <w:kern w:val="24"/>
          <w:sz w:val="18"/>
          <w:szCs w:val="18"/>
        </w:rPr>
        <w:t xml:space="preserve">“Prevalence and PTSD Severity: </w:t>
      </w:r>
    </w:p>
    <w:p w:rsidR="00036C6E" w:rsidRDefault="00036C6E">
      <w:pPr>
        <w:widowControl w:val="0"/>
        <w:autoSpaceDE w:val="0"/>
        <w:autoSpaceDN w:val="0"/>
        <w:adjustRightInd w:val="0"/>
        <w:spacing w:after="0"/>
        <w:ind w:left="540" w:hanging="540"/>
        <w:rPr>
          <w:rFonts w:ascii="Helvetica LT Std" w:hAnsi="Helvetica LT Std" w:cs="Helvetica LT Std"/>
          <w:b/>
          <w:bCs/>
          <w:i/>
          <w:iCs/>
          <w:kern w:val="24"/>
          <w:sz w:val="18"/>
          <w:szCs w:val="18"/>
        </w:rPr>
      </w:pPr>
      <w:r>
        <w:rPr>
          <w:rFonts w:ascii="Helvetica LT Std" w:hAnsi="Helvetica LT Std" w:cs="Helvetica LT Std"/>
          <w:b/>
          <w:bCs/>
          <w:i/>
          <w:iCs/>
          <w:kern w:val="24"/>
          <w:sz w:val="18"/>
          <w:szCs w:val="18"/>
        </w:rPr>
        <w:t>Iraq &amp; Afghanistan Male Combat Veterans”</w:t>
      </w:r>
    </w:p>
    <w:p w:rsidR="00036C6E" w:rsidRDefault="00036C6E">
      <w:pPr>
        <w:widowControl w:val="0"/>
        <w:autoSpaceDE w:val="0"/>
        <w:autoSpaceDN w:val="0"/>
        <w:adjustRightInd w:val="0"/>
        <w:spacing w:after="0" w:line="240" w:lineRule="auto"/>
        <w:rPr>
          <w:rFonts w:ascii="Articulate" w:hAnsi="Articulate" w:cs="Articulate"/>
          <w:sz w:val="18"/>
          <w:szCs w:val="18"/>
        </w:rPr>
      </w:pPr>
    </w:p>
    <w:p w:rsidR="00036C6E" w:rsidRDefault="00036C6E" w:rsidP="00036C6E"/>
    <w:p w:rsidR="00036C6E" w:rsidRDefault="00036C6E" w:rsidP="00036C6E">
      <w:pPr>
        <w:pStyle w:val="Heading2"/>
      </w:pPr>
      <w:r>
        <w:t>1.3 Deployments Defined</w:t>
      </w:r>
    </w:p>
    <w:p w:rsidR="00036C6E" w:rsidRDefault="00F03885" w:rsidP="00036C6E">
      <w:r>
        <w:rPr>
          <w:noProof/>
          <w:lang w:eastAsia="en-US"/>
        </w:rPr>
        <w:drawing>
          <wp:inline distT="0" distB="0" distL="0" distR="0">
            <wp:extent cx="3714750" cy="2781300"/>
            <wp:effectExtent l="0" t="0" r="0" b="0"/>
            <wp:docPr id="4" name="Picture 4" descr="Soldiers standing in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g9az3Rtc4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036C6E" w:rsidRDefault="00036C6E" w:rsidP="00036C6E">
      <w:pPr>
        <w:rPr>
          <w:b/>
        </w:rPr>
      </w:pPr>
      <w:r>
        <w:rPr>
          <w:b/>
        </w:rPr>
        <w:t>Notes:</w:t>
      </w:r>
    </w:p>
    <w:p w:rsidR="00036C6E" w:rsidRDefault="00036C6E">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kern w:val="24"/>
          <w:sz w:val="18"/>
          <w:szCs w:val="18"/>
        </w:rPr>
        <w:t>"Deployment" is defined as the number of times a service member has served in a non-U.S. location (such as Iraq and Afghanistan).</w:t>
      </w:r>
    </w:p>
    <w:p w:rsidR="00036C6E" w:rsidRDefault="00036C6E" w:rsidP="00036C6E"/>
    <w:p w:rsidR="00036C6E" w:rsidRDefault="00036C6E" w:rsidP="00036C6E">
      <w:pPr>
        <w:pStyle w:val="Heading2"/>
      </w:pPr>
      <w:r>
        <w:lastRenderedPageBreak/>
        <w:t>1.4 Combat Deployments</w:t>
      </w:r>
    </w:p>
    <w:p w:rsidR="00036C6E" w:rsidRDefault="00F03885" w:rsidP="00036C6E">
      <w:r>
        <w:rPr>
          <w:noProof/>
          <w:lang w:eastAsia="en-US"/>
        </w:rPr>
        <w:drawing>
          <wp:inline distT="0" distB="0" distL="0" distR="0">
            <wp:extent cx="3714750" cy="2781300"/>
            <wp:effectExtent l="0" t="0" r="0" b="0"/>
            <wp:docPr id="5" name="Picture 5" descr="Soldier hugged by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qX2yiVhTQ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036C6E" w:rsidRDefault="00036C6E" w:rsidP="00036C6E">
      <w:pPr>
        <w:rPr>
          <w:b/>
        </w:rPr>
      </w:pPr>
      <w:r>
        <w:rPr>
          <w:b/>
        </w:rPr>
        <w:t>Notes:</w:t>
      </w:r>
    </w:p>
    <w:p w:rsidR="00036C6E" w:rsidRDefault="00036C6E">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kern w:val="24"/>
          <w:sz w:val="18"/>
          <w:szCs w:val="18"/>
        </w:rPr>
        <w:t>"Combat Deployments" refers to the number of times a service member is deployed to a combat zone. Combat deployments may vary f</w:t>
      </w:r>
      <w:r w:rsidR="006640B1">
        <w:rPr>
          <w:rFonts w:ascii="Helvetica LT Std" w:hAnsi="Helvetica LT Std" w:cs="Helvetica LT Std"/>
          <w:b/>
          <w:bCs/>
          <w:kern w:val="24"/>
          <w:sz w:val="18"/>
          <w:szCs w:val="18"/>
        </w:rPr>
        <w:t>rom 9 to 12</w:t>
      </w:r>
      <w:r>
        <w:rPr>
          <w:rFonts w:ascii="Helvetica LT Std" w:hAnsi="Helvetica LT Std" w:cs="Helvetica LT Std"/>
          <w:b/>
          <w:bCs/>
          <w:kern w:val="24"/>
          <w:sz w:val="18"/>
          <w:szCs w:val="18"/>
        </w:rPr>
        <w:t xml:space="preserve"> months.  Extensions of 90 to 120 days are common.</w:t>
      </w:r>
    </w:p>
    <w:p w:rsidR="00036C6E" w:rsidRDefault="00036C6E" w:rsidP="00036C6E"/>
    <w:p w:rsidR="00036C6E" w:rsidRDefault="00036C6E" w:rsidP="00036C6E">
      <w:pPr>
        <w:pStyle w:val="Heading2"/>
      </w:pPr>
      <w:r>
        <w:t>1.5 Combat Environment</w:t>
      </w:r>
    </w:p>
    <w:p w:rsidR="00036C6E" w:rsidRDefault="00F03885" w:rsidP="00036C6E">
      <w:r>
        <w:rPr>
          <w:noProof/>
          <w:lang w:eastAsia="en-US"/>
        </w:rPr>
        <w:drawing>
          <wp:inline distT="0" distB="0" distL="0" distR="0">
            <wp:extent cx="3714750" cy="2781300"/>
            <wp:effectExtent l="0" t="0" r="0" b="0"/>
            <wp:docPr id="6" name="Picture 6" descr="Soldiers and shelter in de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V9vM0mmen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036C6E" w:rsidRDefault="00036C6E" w:rsidP="00036C6E">
      <w:pPr>
        <w:rPr>
          <w:b/>
        </w:rPr>
      </w:pPr>
      <w:r>
        <w:rPr>
          <w:b/>
        </w:rPr>
        <w:lastRenderedPageBreak/>
        <w:t>Notes:</w:t>
      </w:r>
    </w:p>
    <w:p w:rsidR="00036C6E" w:rsidRDefault="00036C6E">
      <w:pPr>
        <w:widowControl w:val="0"/>
        <w:autoSpaceDE w:val="0"/>
        <w:autoSpaceDN w:val="0"/>
        <w:adjustRightInd w:val="0"/>
        <w:spacing w:after="0"/>
        <w:rPr>
          <w:rFonts w:ascii="Helvetica LT Std" w:hAnsi="Helvetica LT Std" w:cs="Helvetica LT Std"/>
          <w:b/>
          <w:bCs/>
          <w:kern w:val="24"/>
          <w:sz w:val="18"/>
          <w:szCs w:val="18"/>
        </w:rPr>
      </w:pPr>
      <w:r>
        <w:rPr>
          <w:rFonts w:ascii="Helvetica LT Std" w:hAnsi="Helvetica LT Std" w:cs="Helvetica LT Std"/>
          <w:b/>
          <w:bCs/>
          <w:kern w:val="24"/>
          <w:sz w:val="18"/>
          <w:szCs w:val="18"/>
        </w:rPr>
        <w:t>The term "Number of Times in a Combat Environment" refers to the number of times a service member has been in a combat environment.</w:t>
      </w:r>
    </w:p>
    <w:p w:rsidR="00036C6E" w:rsidRDefault="00036C6E">
      <w:pPr>
        <w:widowControl w:val="0"/>
        <w:autoSpaceDE w:val="0"/>
        <w:autoSpaceDN w:val="0"/>
        <w:adjustRightInd w:val="0"/>
        <w:spacing w:after="0" w:line="240" w:lineRule="auto"/>
        <w:rPr>
          <w:rFonts w:ascii="Articulate" w:hAnsi="Articulate" w:cs="Articulate"/>
          <w:sz w:val="18"/>
          <w:szCs w:val="18"/>
        </w:rPr>
      </w:pPr>
    </w:p>
    <w:p w:rsidR="00036C6E" w:rsidRDefault="00036C6E" w:rsidP="00036C6E"/>
    <w:p w:rsidR="00036C6E" w:rsidRDefault="00036C6E" w:rsidP="00036C6E">
      <w:pPr>
        <w:pStyle w:val="Heading2"/>
      </w:pPr>
      <w:r>
        <w:t>1.6 Number of Times in Combat</w:t>
      </w:r>
    </w:p>
    <w:p w:rsidR="00036C6E" w:rsidRDefault="00F03885" w:rsidP="00036C6E">
      <w:r>
        <w:rPr>
          <w:noProof/>
          <w:lang w:eastAsia="en-US"/>
        </w:rPr>
        <w:drawing>
          <wp:inline distT="0" distB="0" distL="0" distR="0">
            <wp:extent cx="3714750" cy="2781300"/>
            <wp:effectExtent l="0" t="0" r="0" b="0"/>
            <wp:docPr id="7" name="Picture 7" descr="Soldier behind wall while debris f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qNVqrg8X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036C6E" w:rsidRDefault="00036C6E" w:rsidP="00036C6E">
      <w:pPr>
        <w:rPr>
          <w:b/>
        </w:rPr>
      </w:pPr>
      <w:r>
        <w:rPr>
          <w:b/>
        </w:rPr>
        <w:t>Notes:</w:t>
      </w:r>
    </w:p>
    <w:p w:rsidR="00036C6E" w:rsidRDefault="00036C6E">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kern w:val="24"/>
          <w:sz w:val="18"/>
          <w:szCs w:val="18"/>
        </w:rPr>
        <w:t>"Number of Times in Combat" refers to the number of times a service member has been exposed to gunfire, firefights, the wounded, corpses, roadside bombs, suicide bombers, and snipers.</w:t>
      </w:r>
    </w:p>
    <w:p w:rsidR="00036C6E" w:rsidRDefault="00036C6E" w:rsidP="00036C6E"/>
    <w:p w:rsidR="00036C6E" w:rsidRDefault="00036C6E" w:rsidP="00036C6E">
      <w:pPr>
        <w:pStyle w:val="Heading2"/>
      </w:pPr>
      <w:r>
        <w:lastRenderedPageBreak/>
        <w:t>1.7 Troops who have served in Iraq and Afghanistan based on how often they have been deployed</w:t>
      </w:r>
    </w:p>
    <w:p w:rsidR="00036C6E" w:rsidRDefault="00F03885" w:rsidP="00036C6E">
      <w:r>
        <w:rPr>
          <w:noProof/>
          <w:lang w:eastAsia="en-US"/>
        </w:rPr>
        <w:drawing>
          <wp:inline distT="0" distB="0" distL="0" distR="0">
            <wp:extent cx="3714750" cy="2781300"/>
            <wp:effectExtent l="0" t="0" r="0" b="0"/>
            <wp:docPr id="8" name="Picture 8" descr="Graph of Troops who have served in Iraq and Afghanistan based on how often they have been deployed (from one time to more than five times). Information from the Department of Defense in March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UiDxnm2De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036C6E" w:rsidRDefault="00036C6E" w:rsidP="00036C6E">
      <w:pPr>
        <w:rPr>
          <w:b/>
        </w:rPr>
      </w:pPr>
      <w:r>
        <w:rPr>
          <w:b/>
        </w:rPr>
        <w:t>Notes:</w:t>
      </w:r>
    </w:p>
    <w:p w:rsidR="00036C6E" w:rsidRDefault="00036C6E">
      <w:pPr>
        <w:widowControl w:val="0"/>
        <w:autoSpaceDE w:val="0"/>
        <w:autoSpaceDN w:val="0"/>
        <w:adjustRightInd w:val="0"/>
        <w:spacing w:after="0" w:line="240" w:lineRule="auto"/>
        <w:rPr>
          <w:rFonts w:ascii="Articulate" w:hAnsi="Articulate" w:cs="Articulate"/>
          <w:sz w:val="18"/>
          <w:szCs w:val="18"/>
        </w:rPr>
      </w:pPr>
      <w:r>
        <w:rPr>
          <w:rFonts w:ascii="Helvetica LT Std" w:hAnsi="Helvetica LT Std" w:cs="Helvetica LT Std"/>
          <w:b/>
          <w:bCs/>
          <w:kern w:val="24"/>
          <w:sz w:val="18"/>
          <w:szCs w:val="18"/>
        </w:rPr>
        <w:t>Troops who have served in Iraq and Afghanistan based on how often they have been deployed</w:t>
      </w:r>
    </w:p>
    <w:p w:rsidR="00036C6E" w:rsidRDefault="00036C6E" w:rsidP="00036C6E"/>
    <w:p w:rsidR="00036C6E" w:rsidRDefault="00036C6E" w:rsidP="00036C6E">
      <w:pPr>
        <w:pStyle w:val="Heading2"/>
      </w:pPr>
      <w:r>
        <w:t>1.8 Review</w:t>
      </w:r>
    </w:p>
    <w:p w:rsidR="00036C6E" w:rsidRDefault="00036C6E" w:rsidP="00036C6E">
      <w:pPr>
        <w:rPr>
          <w:i/>
        </w:rPr>
      </w:pPr>
      <w:r>
        <w:rPr>
          <w:i/>
        </w:rPr>
        <w:t xml:space="preserve">  (Drag and Drop, 10 points, unlimited attempts permitted)</w:t>
      </w:r>
    </w:p>
    <w:p w:rsidR="00036C6E" w:rsidRDefault="00F03885" w:rsidP="00036C6E">
      <w:r>
        <w:rPr>
          <w:noProof/>
          <w:lang w:eastAsia="en-US"/>
        </w:rPr>
        <w:lastRenderedPageBreak/>
        <w:drawing>
          <wp:inline distT="0" distB="0" distL="0" distR="0">
            <wp:extent cx="3714750" cy="2781300"/>
            <wp:effectExtent l="0" t="0" r="0" b="0"/>
            <wp:docPr id="9" name="Picture 9" descr="Drag and D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QKcoZuJsLJ"/>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insideH w:val="single" w:sz="8" w:space="0" w:color="auto"/>
        </w:tblBorders>
        <w:tblLayout w:type="fixed"/>
        <w:tblLook w:val="0000" w:firstRow="0" w:lastRow="0" w:firstColumn="0" w:lastColumn="0" w:noHBand="0" w:noVBand="0"/>
      </w:tblPr>
      <w:tblGrid>
        <w:gridCol w:w="4428"/>
        <w:gridCol w:w="4428"/>
      </w:tblGrid>
      <w:tr w:rsidR="00036C6E" w:rsidTr="00036C6E">
        <w:tblPrEx>
          <w:tblCellMar>
            <w:top w:w="0" w:type="dxa"/>
            <w:bottom w:w="0" w:type="dxa"/>
          </w:tblCellMar>
        </w:tblPrEx>
        <w:tc>
          <w:tcPr>
            <w:tcW w:w="4428" w:type="dxa"/>
            <w:tcBorders>
              <w:top w:val="single" w:sz="12" w:space="0" w:color="auto"/>
              <w:bottom w:val="single" w:sz="12" w:space="0" w:color="auto"/>
            </w:tcBorders>
            <w:shd w:val="clear" w:color="auto" w:fill="808080"/>
          </w:tcPr>
          <w:p w:rsidR="00036C6E" w:rsidRDefault="00036C6E" w:rsidP="00036C6E">
            <w:pPr>
              <w:spacing w:after="0"/>
            </w:pPr>
            <w:r>
              <w:t>Drag Item</w:t>
            </w:r>
          </w:p>
        </w:tc>
        <w:tc>
          <w:tcPr>
            <w:tcW w:w="4428" w:type="dxa"/>
            <w:tcBorders>
              <w:top w:val="single" w:sz="12" w:space="0" w:color="auto"/>
              <w:bottom w:val="single" w:sz="12" w:space="0" w:color="auto"/>
            </w:tcBorders>
            <w:shd w:val="clear" w:color="auto" w:fill="808080"/>
          </w:tcPr>
          <w:p w:rsidR="00036C6E" w:rsidRDefault="00036C6E" w:rsidP="00036C6E">
            <w:pPr>
              <w:spacing w:after="0"/>
            </w:pPr>
            <w:r>
              <w:t>Drop Target</w:t>
            </w:r>
          </w:p>
        </w:tc>
      </w:tr>
      <w:tr w:rsidR="00036C6E" w:rsidTr="00036C6E">
        <w:tblPrEx>
          <w:tblCellMar>
            <w:top w:w="0" w:type="dxa"/>
            <w:bottom w:w="0" w:type="dxa"/>
          </w:tblCellMar>
        </w:tblPrEx>
        <w:tc>
          <w:tcPr>
            <w:tcW w:w="4428" w:type="dxa"/>
            <w:tcBorders>
              <w:top w:val="single" w:sz="12" w:space="0" w:color="auto"/>
            </w:tcBorders>
            <w:shd w:val="clear" w:color="auto" w:fill="auto"/>
          </w:tcPr>
          <w:p w:rsidR="00036C6E" w:rsidRDefault="00036C6E" w:rsidP="00036C6E">
            <w:pPr>
              <w:spacing w:after="0"/>
            </w:pPr>
            <w:r>
              <w:t>Times in Combat</w:t>
            </w:r>
          </w:p>
        </w:tc>
        <w:tc>
          <w:tcPr>
            <w:tcW w:w="4428" w:type="dxa"/>
            <w:tcBorders>
              <w:top w:val="single" w:sz="12" w:space="0" w:color="auto"/>
            </w:tcBorders>
            <w:shd w:val="clear" w:color="auto" w:fill="auto"/>
          </w:tcPr>
          <w:p w:rsidR="00036C6E" w:rsidRDefault="00036C6E" w:rsidP="00036C6E">
            <w:pPr>
              <w:spacing w:after="0"/>
            </w:pPr>
            <w:r>
              <w:t>The number of times a service member has been exposed to gunfire, firefights, the wounded, corpses, roadside bombs, suicide bombers, and snipers.</w:t>
            </w:r>
          </w:p>
        </w:tc>
      </w:tr>
      <w:tr w:rsidR="00036C6E" w:rsidTr="00036C6E">
        <w:tblPrEx>
          <w:tblCellMar>
            <w:top w:w="0" w:type="dxa"/>
            <w:bottom w:w="0" w:type="dxa"/>
          </w:tblCellMar>
        </w:tblPrEx>
        <w:tc>
          <w:tcPr>
            <w:tcW w:w="4428" w:type="dxa"/>
            <w:shd w:val="clear" w:color="auto" w:fill="auto"/>
          </w:tcPr>
          <w:p w:rsidR="00036C6E" w:rsidRDefault="00036C6E" w:rsidP="00036C6E">
            <w:pPr>
              <w:spacing w:after="0"/>
            </w:pPr>
            <w:r>
              <w:t>Times in a Combat</w:t>
            </w:r>
          </w:p>
          <w:p w:rsidR="00036C6E" w:rsidRDefault="00036C6E" w:rsidP="00036C6E">
            <w:pPr>
              <w:spacing w:after="0"/>
            </w:pPr>
            <w:r>
              <w:t>Environment</w:t>
            </w:r>
          </w:p>
        </w:tc>
        <w:tc>
          <w:tcPr>
            <w:tcW w:w="4428" w:type="dxa"/>
            <w:shd w:val="clear" w:color="auto" w:fill="auto"/>
          </w:tcPr>
          <w:p w:rsidR="00036C6E" w:rsidRDefault="00036C6E" w:rsidP="00036C6E">
            <w:pPr>
              <w:spacing w:after="0"/>
            </w:pPr>
            <w:r>
              <w:t>The number of times a service member has been in a combat environment.</w:t>
            </w:r>
          </w:p>
        </w:tc>
      </w:tr>
      <w:tr w:rsidR="00036C6E" w:rsidTr="00036C6E">
        <w:tblPrEx>
          <w:tblCellMar>
            <w:top w:w="0" w:type="dxa"/>
            <w:bottom w:w="0" w:type="dxa"/>
          </w:tblCellMar>
        </w:tblPrEx>
        <w:tc>
          <w:tcPr>
            <w:tcW w:w="4428" w:type="dxa"/>
            <w:shd w:val="clear" w:color="auto" w:fill="auto"/>
          </w:tcPr>
          <w:p w:rsidR="00036C6E" w:rsidRDefault="00036C6E" w:rsidP="00036C6E">
            <w:pPr>
              <w:spacing w:after="0"/>
            </w:pPr>
            <w:r>
              <w:t>Deployments</w:t>
            </w:r>
          </w:p>
        </w:tc>
        <w:tc>
          <w:tcPr>
            <w:tcW w:w="4428" w:type="dxa"/>
            <w:shd w:val="clear" w:color="auto" w:fill="auto"/>
          </w:tcPr>
          <w:p w:rsidR="00036C6E" w:rsidRDefault="00036C6E" w:rsidP="00036C6E">
            <w:pPr>
              <w:spacing w:after="0"/>
            </w:pPr>
            <w:r>
              <w:t>The number of times a service member has served in a non-U.S. location.</w:t>
            </w:r>
          </w:p>
        </w:tc>
      </w:tr>
      <w:tr w:rsidR="00036C6E" w:rsidTr="00036C6E">
        <w:tblPrEx>
          <w:tblCellMar>
            <w:top w:w="0" w:type="dxa"/>
            <w:bottom w:w="0" w:type="dxa"/>
          </w:tblCellMar>
        </w:tblPrEx>
        <w:tc>
          <w:tcPr>
            <w:tcW w:w="4428" w:type="dxa"/>
            <w:shd w:val="clear" w:color="auto" w:fill="auto"/>
          </w:tcPr>
          <w:p w:rsidR="00036C6E" w:rsidRDefault="00036C6E" w:rsidP="00036C6E">
            <w:pPr>
              <w:spacing w:after="0"/>
            </w:pPr>
            <w:r>
              <w:t xml:space="preserve">Combat </w:t>
            </w:r>
          </w:p>
          <w:p w:rsidR="00036C6E" w:rsidRDefault="00036C6E" w:rsidP="00036C6E">
            <w:pPr>
              <w:spacing w:after="0"/>
            </w:pPr>
            <w:r>
              <w:t>Deployments</w:t>
            </w:r>
          </w:p>
        </w:tc>
        <w:tc>
          <w:tcPr>
            <w:tcW w:w="4428" w:type="dxa"/>
            <w:shd w:val="clear" w:color="auto" w:fill="auto"/>
          </w:tcPr>
          <w:p w:rsidR="00036C6E" w:rsidRDefault="00036C6E" w:rsidP="00036C6E">
            <w:pPr>
              <w:spacing w:after="0"/>
            </w:pPr>
            <w:r>
              <w:t>The number of times a service member is deployed to a combat zone.</w:t>
            </w:r>
          </w:p>
        </w:tc>
      </w:tr>
    </w:tbl>
    <w:p w:rsidR="00036C6E" w:rsidRDefault="00036C6E" w:rsidP="00036C6E"/>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000" w:firstRow="0" w:lastRow="0" w:firstColumn="0" w:lastColumn="0" w:noHBand="0" w:noVBand="0"/>
      </w:tblPr>
      <w:tblGrid>
        <w:gridCol w:w="8856"/>
      </w:tblGrid>
      <w:tr w:rsidR="00036C6E" w:rsidTr="00036C6E">
        <w:tblPrEx>
          <w:tblCellMar>
            <w:top w:w="0" w:type="dxa"/>
            <w:bottom w:w="0" w:type="dxa"/>
          </w:tblCellMar>
        </w:tblPrEx>
        <w:tc>
          <w:tcPr>
            <w:tcW w:w="8856" w:type="dxa"/>
            <w:tcBorders>
              <w:top w:val="single" w:sz="12" w:space="0" w:color="auto"/>
              <w:bottom w:val="single" w:sz="12" w:space="0" w:color="auto"/>
            </w:tcBorders>
            <w:shd w:val="clear" w:color="auto" w:fill="808080"/>
          </w:tcPr>
          <w:p w:rsidR="00036C6E" w:rsidRDefault="00036C6E" w:rsidP="00036C6E">
            <w:pPr>
              <w:spacing w:after="0"/>
            </w:pPr>
            <w:r>
              <w:t>Drag and drop properties</w:t>
            </w:r>
          </w:p>
        </w:tc>
        <w:bookmarkStart w:id="0" w:name="_GoBack"/>
        <w:bookmarkEnd w:id="0"/>
      </w:tr>
      <w:tr w:rsidR="00036C6E" w:rsidTr="00036C6E">
        <w:tblPrEx>
          <w:tblCellMar>
            <w:top w:w="0" w:type="dxa"/>
            <w:bottom w:w="0" w:type="dxa"/>
          </w:tblCellMar>
        </w:tblPrEx>
        <w:tc>
          <w:tcPr>
            <w:tcW w:w="8856" w:type="dxa"/>
            <w:tcBorders>
              <w:top w:val="single" w:sz="12" w:space="0" w:color="auto"/>
            </w:tcBorders>
            <w:shd w:val="clear" w:color="auto" w:fill="auto"/>
          </w:tcPr>
          <w:p w:rsidR="00036C6E" w:rsidRDefault="00036C6E" w:rsidP="00036C6E">
            <w:pPr>
              <w:spacing w:after="0"/>
            </w:pPr>
            <w:r>
              <w:t>Return item to start point if dropped outside the correct drop target</w:t>
            </w:r>
          </w:p>
        </w:tc>
      </w:tr>
      <w:tr w:rsidR="00036C6E" w:rsidTr="00036C6E">
        <w:tblPrEx>
          <w:tblCellMar>
            <w:top w:w="0" w:type="dxa"/>
            <w:bottom w:w="0" w:type="dxa"/>
          </w:tblCellMar>
        </w:tblPrEx>
        <w:tc>
          <w:tcPr>
            <w:tcW w:w="8856" w:type="dxa"/>
            <w:shd w:val="clear" w:color="auto" w:fill="auto"/>
          </w:tcPr>
          <w:p w:rsidR="00036C6E" w:rsidRDefault="00036C6E" w:rsidP="00036C6E">
            <w:pPr>
              <w:spacing w:after="0"/>
            </w:pPr>
            <w:r>
              <w:t>Snap dropped items to drop target (Snap to center)</w:t>
            </w:r>
          </w:p>
        </w:tc>
      </w:tr>
      <w:tr w:rsidR="00036C6E" w:rsidTr="00036C6E">
        <w:tblPrEx>
          <w:tblCellMar>
            <w:top w:w="0" w:type="dxa"/>
            <w:bottom w:w="0" w:type="dxa"/>
          </w:tblCellMar>
        </w:tblPrEx>
        <w:tc>
          <w:tcPr>
            <w:tcW w:w="8856" w:type="dxa"/>
            <w:shd w:val="clear" w:color="auto" w:fill="auto"/>
          </w:tcPr>
          <w:p w:rsidR="00036C6E" w:rsidRDefault="00036C6E" w:rsidP="00036C6E">
            <w:pPr>
              <w:spacing w:after="0"/>
            </w:pPr>
            <w:r>
              <w:lastRenderedPageBreak/>
              <w:t>Allow only one item in each drop target</w:t>
            </w:r>
          </w:p>
        </w:tc>
      </w:tr>
    </w:tbl>
    <w:p w:rsidR="00305B27" w:rsidRPr="00036C6E" w:rsidRDefault="00305B27" w:rsidP="00036C6E"/>
    <w:p w:rsidR="00036C6E" w:rsidRDefault="00036C6E" w:rsidP="00036C6E">
      <w:pPr>
        <w:rPr>
          <w:b/>
        </w:rPr>
      </w:pPr>
      <w:r>
        <w:rPr>
          <w:b/>
        </w:rPr>
        <w:t>Feedback when correct:</w:t>
      </w:r>
    </w:p>
    <w:p w:rsidR="00036C6E" w:rsidRDefault="00036C6E" w:rsidP="00036C6E">
      <w:r>
        <w:t>That's right!  You selected the correct response.</w:t>
      </w:r>
    </w:p>
    <w:p w:rsidR="00036C6E" w:rsidRDefault="00036C6E" w:rsidP="00036C6E">
      <w:pPr>
        <w:rPr>
          <w:b/>
        </w:rPr>
      </w:pPr>
      <w:r>
        <w:rPr>
          <w:b/>
        </w:rPr>
        <w:t>Feedback when incorrect:</w:t>
      </w:r>
    </w:p>
    <w:p w:rsidR="00036C6E" w:rsidRDefault="00036C6E" w:rsidP="00036C6E">
      <w:r>
        <w:t>You did not select the correct response.</w:t>
      </w:r>
    </w:p>
    <w:p w:rsidR="00036C6E" w:rsidRDefault="00036C6E" w:rsidP="00036C6E"/>
    <w:p w:rsidR="00036C6E" w:rsidRDefault="00036C6E" w:rsidP="00036C6E">
      <w:pPr>
        <w:rPr>
          <w:b/>
        </w:rPr>
      </w:pPr>
      <w:r>
        <w:rPr>
          <w:b/>
        </w:rPr>
        <w:t>Notes:</w:t>
      </w:r>
    </w:p>
    <w:p w:rsidR="00036C6E" w:rsidRDefault="00036C6E">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The Drag and Drop Labels interaction features a text and label themed layout.</w:t>
      </w:r>
    </w:p>
    <w:p w:rsidR="00036C6E" w:rsidRDefault="00036C6E">
      <w:pPr>
        <w:widowControl w:val="0"/>
        <w:autoSpaceDE w:val="0"/>
        <w:autoSpaceDN w:val="0"/>
        <w:adjustRightInd w:val="0"/>
        <w:spacing w:after="0" w:line="240" w:lineRule="auto"/>
        <w:rPr>
          <w:rFonts w:ascii="Articulate" w:hAnsi="Articulate" w:cs="Articulate"/>
          <w:sz w:val="18"/>
          <w:szCs w:val="18"/>
        </w:rPr>
      </w:pPr>
    </w:p>
    <w:p w:rsidR="00036C6E" w:rsidRDefault="00036C6E">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Use this text-based interaction for learners to correctly match terms with definitions, quotes by historical figures or products to features and benefits.</w:t>
      </w:r>
    </w:p>
    <w:p w:rsidR="00036C6E" w:rsidRDefault="00036C6E">
      <w:pPr>
        <w:widowControl w:val="0"/>
        <w:autoSpaceDE w:val="0"/>
        <w:autoSpaceDN w:val="0"/>
        <w:adjustRightInd w:val="0"/>
        <w:spacing w:after="0" w:line="240" w:lineRule="auto"/>
        <w:rPr>
          <w:rFonts w:ascii="Articulate" w:hAnsi="Articulate" w:cs="Articulate"/>
          <w:sz w:val="18"/>
          <w:szCs w:val="18"/>
        </w:rPr>
      </w:pPr>
    </w:p>
    <w:p w:rsidR="00036C6E" w:rsidRDefault="00036C6E">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 xml:space="preserve">Deployments: </w:t>
      </w:r>
      <w:r>
        <w:rPr>
          <w:rFonts w:ascii="Helvetica LT Std" w:hAnsi="Helvetica LT Std" w:cs="Helvetica LT Std"/>
          <w:b/>
          <w:bCs/>
          <w:color w:val="2B2B2B"/>
          <w:kern w:val="24"/>
          <w:sz w:val="18"/>
          <w:szCs w:val="18"/>
        </w:rPr>
        <w:t>The number of times a service member has served in a non-U.S. location.</w:t>
      </w:r>
    </w:p>
    <w:p w:rsidR="00036C6E" w:rsidRDefault="00036C6E">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 xml:space="preserve">Combat Deployments: </w:t>
      </w:r>
      <w:r>
        <w:rPr>
          <w:rFonts w:ascii="Helvetica LT Std" w:hAnsi="Helvetica LT Std" w:cs="Helvetica LT Std"/>
          <w:b/>
          <w:bCs/>
          <w:color w:val="2B2B2B"/>
          <w:kern w:val="24"/>
          <w:sz w:val="18"/>
          <w:szCs w:val="18"/>
        </w:rPr>
        <w:t>The number of times a service member is deployed to a combat zone.</w:t>
      </w:r>
    </w:p>
    <w:p w:rsidR="00036C6E" w:rsidRDefault="00036C6E">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 xml:space="preserve">Times in a Combat Environment: </w:t>
      </w:r>
      <w:r>
        <w:rPr>
          <w:rFonts w:ascii="Helvetica LT Std" w:hAnsi="Helvetica LT Std" w:cs="Helvetica LT Std"/>
          <w:b/>
          <w:bCs/>
          <w:color w:val="2B2B2B"/>
          <w:kern w:val="24"/>
          <w:sz w:val="18"/>
          <w:szCs w:val="18"/>
        </w:rPr>
        <w:t>The number of times a service member has been in a combat environment.</w:t>
      </w:r>
    </w:p>
    <w:p w:rsidR="00036C6E" w:rsidRPr="006640B1" w:rsidRDefault="00036C6E" w:rsidP="006640B1">
      <w:pPr>
        <w:widowControl w:val="0"/>
        <w:autoSpaceDE w:val="0"/>
        <w:autoSpaceDN w:val="0"/>
        <w:adjustRightInd w:val="0"/>
        <w:spacing w:after="0" w:line="240" w:lineRule="auto"/>
        <w:rPr>
          <w:rFonts w:ascii="Articulate" w:hAnsi="Articulate" w:cs="Articulate"/>
          <w:sz w:val="18"/>
          <w:szCs w:val="18"/>
        </w:rPr>
      </w:pPr>
      <w:r>
        <w:rPr>
          <w:rFonts w:ascii="Articulate" w:hAnsi="Articulate" w:cs="Articulate"/>
          <w:sz w:val="18"/>
          <w:szCs w:val="18"/>
        </w:rPr>
        <w:t xml:space="preserve">Times in Combat: </w:t>
      </w:r>
      <w:r>
        <w:rPr>
          <w:rFonts w:ascii="Helvetica LT Std" w:hAnsi="Helvetica LT Std" w:cs="Helvetica LT Std"/>
          <w:b/>
          <w:bCs/>
          <w:color w:val="2B2B2B"/>
          <w:kern w:val="24"/>
          <w:sz w:val="18"/>
          <w:szCs w:val="18"/>
        </w:rPr>
        <w:t>The number of times a service member has been exposed to gunfire, firefights, the wounded, corpses, roadside bombs, suicide bombers, and snipers.</w:t>
      </w:r>
    </w:p>
    <w:p w:rsidR="00036C6E" w:rsidRDefault="00036C6E" w:rsidP="00036C6E">
      <w:pPr>
        <w:pStyle w:val="Heading2"/>
      </w:pPr>
      <w:r>
        <w:lastRenderedPageBreak/>
        <w:t>1.9 Presentation Author</w:t>
      </w:r>
    </w:p>
    <w:p w:rsidR="00036C6E" w:rsidRDefault="00F03885" w:rsidP="00036C6E">
      <w:r>
        <w:rPr>
          <w:noProof/>
          <w:lang w:eastAsia="en-US"/>
        </w:rPr>
        <w:drawing>
          <wp:inline distT="0" distB="0" distL="0" distR="0">
            <wp:extent cx="3714750" cy="2781300"/>
            <wp:effectExtent l="0" t="0" r="0" b="0"/>
            <wp:docPr id="13" name="Picture 13" descr="6nQhcANYU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6nQhcANYUK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rsidR="00036C6E" w:rsidRDefault="00036C6E" w:rsidP="00036C6E">
      <w:pPr>
        <w:rPr>
          <w:b/>
        </w:rPr>
      </w:pPr>
      <w:r>
        <w:rPr>
          <w:b/>
        </w:rPr>
        <w:t>Notes:</w:t>
      </w:r>
    </w:p>
    <w:p w:rsidR="00036C6E" w:rsidRDefault="00036C6E">
      <w:pPr>
        <w:widowControl w:val="0"/>
        <w:autoSpaceDE w:val="0"/>
        <w:autoSpaceDN w:val="0"/>
        <w:adjustRightInd w:val="0"/>
        <w:spacing w:after="0" w:line="240" w:lineRule="auto"/>
        <w:rPr>
          <w:rFonts w:ascii="Helvetica LT Std" w:hAnsi="Helvetica LT Std" w:cs="Helvetica LT Std"/>
          <w:b/>
          <w:bCs/>
          <w:kern w:val="24"/>
          <w:sz w:val="18"/>
          <w:szCs w:val="18"/>
        </w:rPr>
      </w:pPr>
      <w:r>
        <w:rPr>
          <w:rFonts w:ascii="Articulate" w:hAnsi="Articulate" w:cs="Articulate"/>
          <w:sz w:val="18"/>
          <w:szCs w:val="18"/>
        </w:rPr>
        <w:t>Presentation Author</w:t>
      </w:r>
    </w:p>
    <w:p w:rsidR="00036C6E" w:rsidRDefault="00036C6E">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p>
    <w:p w:rsidR="00036C6E" w:rsidRDefault="00036C6E">
      <w:pPr>
        <w:widowControl w:val="0"/>
        <w:autoSpaceDE w:val="0"/>
        <w:autoSpaceDN w:val="0"/>
        <w:adjustRightInd w:val="0"/>
        <w:spacing w:after="0" w:line="240" w:lineRule="auto"/>
        <w:ind w:left="540" w:hanging="540"/>
        <w:rPr>
          <w:rFonts w:ascii="Helvetica LT Std" w:hAnsi="Helvetica LT Std" w:cs="Helvetica LT Std"/>
          <w:kern w:val="24"/>
          <w:sz w:val="18"/>
          <w:szCs w:val="18"/>
        </w:rPr>
      </w:pPr>
      <w:r>
        <w:rPr>
          <w:rFonts w:ascii="Helvetica LT Std" w:hAnsi="Helvetica LT Std" w:cs="Helvetica LT Std"/>
          <w:b/>
          <w:bCs/>
          <w:kern w:val="24"/>
          <w:sz w:val="18"/>
          <w:szCs w:val="18"/>
        </w:rPr>
        <w:t>Joseph E. Troiani, MHA, MA, MSSI, Ph.D., CADC</w:t>
      </w:r>
    </w:p>
    <w:p w:rsidR="00036C6E" w:rsidRDefault="00036C6E">
      <w:pPr>
        <w:widowControl w:val="0"/>
        <w:autoSpaceDE w:val="0"/>
        <w:autoSpaceDN w:val="0"/>
        <w:adjustRightInd w:val="0"/>
        <w:spacing w:after="0" w:line="240" w:lineRule="auto"/>
        <w:ind w:left="540" w:hanging="540"/>
        <w:rPr>
          <w:rFonts w:ascii="Helvetica LT Std" w:hAnsi="Helvetica LT Std" w:cs="Helvetica LT Std"/>
          <w:kern w:val="24"/>
          <w:sz w:val="18"/>
          <w:szCs w:val="18"/>
        </w:rPr>
      </w:pPr>
    </w:p>
    <w:p w:rsidR="00036C6E" w:rsidRDefault="00036C6E">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r>
        <w:rPr>
          <w:rFonts w:ascii="Helvetica LT Std" w:hAnsi="Helvetica LT Std" w:cs="Helvetica LT Std"/>
          <w:b/>
          <w:bCs/>
          <w:kern w:val="24"/>
          <w:sz w:val="18"/>
          <w:szCs w:val="18"/>
        </w:rPr>
        <w:t>Program Director of MAMP</w:t>
      </w:r>
    </w:p>
    <w:p w:rsidR="00036C6E" w:rsidRDefault="00036C6E">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r>
        <w:rPr>
          <w:rFonts w:ascii="Helvetica LT Std" w:hAnsi="Helvetica LT Std" w:cs="Helvetica LT Std"/>
          <w:b/>
          <w:bCs/>
          <w:kern w:val="24"/>
          <w:sz w:val="18"/>
          <w:szCs w:val="18"/>
        </w:rPr>
        <w:t>Associate Professor of Clinical Psychology</w:t>
      </w:r>
    </w:p>
    <w:p w:rsidR="00036C6E" w:rsidRDefault="00036C6E">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r>
        <w:rPr>
          <w:rFonts w:ascii="Helvetica LT Std" w:hAnsi="Helvetica LT Std" w:cs="Helvetica LT Std"/>
          <w:b/>
          <w:bCs/>
          <w:kern w:val="24"/>
          <w:sz w:val="18"/>
          <w:szCs w:val="18"/>
        </w:rPr>
        <w:t>Founder of Military Psychology @ Adler</w:t>
      </w:r>
    </w:p>
    <w:p w:rsidR="00036C6E" w:rsidRDefault="00036C6E">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r>
        <w:rPr>
          <w:rFonts w:ascii="Helvetica LT Std" w:hAnsi="Helvetica LT Std" w:cs="Helvetica LT Std"/>
          <w:b/>
          <w:bCs/>
          <w:kern w:val="24"/>
          <w:sz w:val="18"/>
          <w:szCs w:val="18"/>
        </w:rPr>
        <w:t>Adler School of Professional Psychology</w:t>
      </w:r>
    </w:p>
    <w:p w:rsidR="00036C6E" w:rsidRDefault="00036C6E">
      <w:pPr>
        <w:widowControl w:val="0"/>
        <w:autoSpaceDE w:val="0"/>
        <w:autoSpaceDN w:val="0"/>
        <w:adjustRightInd w:val="0"/>
        <w:spacing w:after="0" w:line="240" w:lineRule="auto"/>
        <w:ind w:left="540" w:hanging="540"/>
        <w:rPr>
          <w:rFonts w:ascii="Helvetica LT Std" w:hAnsi="Helvetica LT Std" w:cs="Helvetica LT Std"/>
          <w:b/>
          <w:bCs/>
          <w:kern w:val="24"/>
          <w:sz w:val="18"/>
          <w:szCs w:val="18"/>
        </w:rPr>
      </w:pPr>
    </w:p>
    <w:p w:rsidR="00036C6E" w:rsidRDefault="00036C6E">
      <w:pPr>
        <w:widowControl w:val="0"/>
        <w:autoSpaceDE w:val="0"/>
        <w:autoSpaceDN w:val="0"/>
        <w:adjustRightInd w:val="0"/>
        <w:spacing w:after="0" w:line="240" w:lineRule="auto"/>
        <w:rPr>
          <w:rFonts w:ascii="Helvetica LT Std" w:hAnsi="Helvetica LT Std" w:cs="Helvetica LT Std"/>
          <w:b/>
          <w:bCs/>
          <w:kern w:val="24"/>
          <w:sz w:val="18"/>
          <w:szCs w:val="18"/>
        </w:rPr>
      </w:pPr>
      <w:r>
        <w:rPr>
          <w:rFonts w:ascii="Helvetica LT Std" w:hAnsi="Helvetica LT Std" w:cs="Helvetica LT Std"/>
          <w:b/>
          <w:bCs/>
          <w:kern w:val="24"/>
          <w:sz w:val="18"/>
          <w:szCs w:val="18"/>
        </w:rPr>
        <w:t>Commander, United States Navy (retired)</w:t>
      </w:r>
    </w:p>
    <w:p w:rsidR="00036C6E" w:rsidRDefault="00036C6E">
      <w:pPr>
        <w:widowControl w:val="0"/>
        <w:autoSpaceDE w:val="0"/>
        <w:autoSpaceDN w:val="0"/>
        <w:adjustRightInd w:val="0"/>
        <w:spacing w:after="0" w:line="240" w:lineRule="auto"/>
        <w:rPr>
          <w:rFonts w:ascii="Helvetica LT Std" w:hAnsi="Helvetica LT Std" w:cs="Helvetica LT Std"/>
          <w:b/>
          <w:bCs/>
          <w:kern w:val="24"/>
          <w:sz w:val="18"/>
          <w:szCs w:val="18"/>
        </w:rPr>
      </w:pPr>
    </w:p>
    <w:p w:rsidR="00036C6E" w:rsidRDefault="00036C6E" w:rsidP="0078015C">
      <w:pPr>
        <w:widowControl w:val="0"/>
        <w:autoSpaceDE w:val="0"/>
        <w:autoSpaceDN w:val="0"/>
        <w:adjustRightInd w:val="0"/>
        <w:spacing w:after="0" w:line="240" w:lineRule="auto"/>
      </w:pPr>
      <w:r>
        <w:rPr>
          <w:rFonts w:ascii="Helvetica LT Std" w:hAnsi="Helvetica LT Std" w:cs="Helvetica LT Std"/>
          <w:b/>
          <w:bCs/>
          <w:kern w:val="24"/>
          <w:sz w:val="18"/>
          <w:szCs w:val="18"/>
        </w:rPr>
        <w:t>Developed by Adler Online</w:t>
      </w:r>
    </w:p>
    <w:p w:rsidR="00036C6E" w:rsidRPr="00036C6E" w:rsidRDefault="00036C6E" w:rsidP="00036C6E"/>
    <w:p w:rsidR="00036C6E" w:rsidRPr="00036C6E" w:rsidRDefault="00036C6E" w:rsidP="00036C6E"/>
    <w:sectPr w:rsidR="00036C6E" w:rsidRPr="00036C6E">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FAD" w:rsidRDefault="00203FAD">
      <w:r>
        <w:separator/>
      </w:r>
    </w:p>
  </w:endnote>
  <w:endnote w:type="continuationSeparator" w:id="0">
    <w:p w:rsidR="00203FAD" w:rsidRDefault="0020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LT Std">
    <w:panose1 w:val="020B0504020202020204"/>
    <w:charset w:val="00"/>
    <w:family w:val="swiss"/>
    <w:notTrueType/>
    <w:pitch w:val="variable"/>
    <w:sig w:usb0="00000203" w:usb1="00000000" w:usb2="00000000" w:usb3="00000000" w:csb0="00000005" w:csb1="00000000"/>
  </w:font>
  <w:font w:name="Articulate">
    <w:panose1 w:val="02000503040000020004"/>
    <w:charset w:val="00"/>
    <w:family w:val="auto"/>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6E" w:rsidRDefault="00036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266" w:rsidRDefault="00B56266" w:rsidP="00D61FAD">
    <w:pPr>
      <w:tabs>
        <w:tab w:val="center" w:pos="4320"/>
        <w:tab w:val="right" w:pos="8640"/>
      </w:tabs>
      <w:jc w:val="center"/>
      <w:rPr>
        <w:rFonts w:cs="Arial"/>
      </w:rPr>
    </w:pPr>
    <w:r>
      <w:rPr>
        <w:rFonts w:cs="Arial"/>
      </w:rPr>
      <w:pict>
        <v:rect id="_x0000_i1025" style="width:6in;height:1.5pt" o:hralign="center" o:hrstd="t" o:hr="t" fillcolor="#aca899" stroked="f"/>
      </w:pict>
    </w:r>
  </w:p>
  <w:p w:rsidR="00B56266" w:rsidRPr="00036C6E" w:rsidRDefault="00036C6E" w:rsidP="00036C6E">
    <w:bookmarkStart w:id="1" w:name="PublishedBy"/>
    <w:bookmarkEnd w:id="1"/>
    <w:r>
      <w:t>Published by Articulate® Storyline</w:t>
    </w:r>
    <w:r>
      <w:tab/>
      <w:t>www.articulate.com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6E" w:rsidRDefault="00036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FAD" w:rsidRDefault="00203FAD">
      <w:r>
        <w:separator/>
      </w:r>
    </w:p>
  </w:footnote>
  <w:footnote w:type="continuationSeparator" w:id="0">
    <w:p w:rsidR="00203FAD" w:rsidRDefault="00203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6E" w:rsidRDefault="00036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6E" w:rsidRDefault="00036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6E" w:rsidRDefault="00036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B209476"/>
    <w:lvl w:ilvl="0">
      <w:start w:val="1"/>
      <w:numFmt w:val="decimal"/>
      <w:lvlText w:val="%1."/>
      <w:lvlJc w:val="left"/>
      <w:pPr>
        <w:tabs>
          <w:tab w:val="num" w:pos="1800"/>
        </w:tabs>
        <w:ind w:left="1800" w:hanging="360"/>
      </w:pPr>
    </w:lvl>
  </w:abstractNum>
  <w:abstractNum w:abstractNumId="1">
    <w:nsid w:val="FFFFFF7D"/>
    <w:multiLevelType w:val="singleLevel"/>
    <w:tmpl w:val="EDE02D08"/>
    <w:lvl w:ilvl="0">
      <w:start w:val="1"/>
      <w:numFmt w:val="decimal"/>
      <w:lvlText w:val="%1."/>
      <w:lvlJc w:val="left"/>
      <w:pPr>
        <w:tabs>
          <w:tab w:val="num" w:pos="1440"/>
        </w:tabs>
        <w:ind w:left="1440" w:hanging="360"/>
      </w:pPr>
    </w:lvl>
  </w:abstractNum>
  <w:abstractNum w:abstractNumId="2">
    <w:nsid w:val="FFFFFF7E"/>
    <w:multiLevelType w:val="singleLevel"/>
    <w:tmpl w:val="56C4FBC2"/>
    <w:lvl w:ilvl="0">
      <w:start w:val="1"/>
      <w:numFmt w:val="decimal"/>
      <w:lvlText w:val="%1."/>
      <w:lvlJc w:val="left"/>
      <w:pPr>
        <w:tabs>
          <w:tab w:val="num" w:pos="1080"/>
        </w:tabs>
        <w:ind w:left="1080" w:hanging="360"/>
      </w:pPr>
    </w:lvl>
  </w:abstractNum>
  <w:abstractNum w:abstractNumId="3">
    <w:nsid w:val="FFFFFF7F"/>
    <w:multiLevelType w:val="singleLevel"/>
    <w:tmpl w:val="96605432"/>
    <w:lvl w:ilvl="0">
      <w:start w:val="1"/>
      <w:numFmt w:val="decimal"/>
      <w:lvlText w:val="%1."/>
      <w:lvlJc w:val="left"/>
      <w:pPr>
        <w:tabs>
          <w:tab w:val="num" w:pos="720"/>
        </w:tabs>
        <w:ind w:left="720" w:hanging="360"/>
      </w:pPr>
    </w:lvl>
  </w:abstractNum>
  <w:abstractNum w:abstractNumId="4">
    <w:nsid w:val="FFFFFF80"/>
    <w:multiLevelType w:val="singleLevel"/>
    <w:tmpl w:val="E80484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346FE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C98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4AFC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EB06296"/>
    <w:lvl w:ilvl="0">
      <w:start w:val="1"/>
      <w:numFmt w:val="decimal"/>
      <w:lvlText w:val="%1."/>
      <w:lvlJc w:val="left"/>
      <w:pPr>
        <w:tabs>
          <w:tab w:val="num" w:pos="360"/>
        </w:tabs>
        <w:ind w:left="360" w:hanging="360"/>
      </w:pPr>
    </w:lvl>
  </w:abstractNum>
  <w:abstractNum w:abstractNumId="9">
    <w:nsid w:val="FFFFFF89"/>
    <w:multiLevelType w:val="singleLevel"/>
    <w:tmpl w:val="26EEF99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6E"/>
    <w:rsid w:val="00010C44"/>
    <w:rsid w:val="000132E7"/>
    <w:rsid w:val="00026B58"/>
    <w:rsid w:val="00036C6E"/>
    <w:rsid w:val="0004234C"/>
    <w:rsid w:val="00043D80"/>
    <w:rsid w:val="00057EF3"/>
    <w:rsid w:val="00061E68"/>
    <w:rsid w:val="000642E1"/>
    <w:rsid w:val="00066F5F"/>
    <w:rsid w:val="00072ED1"/>
    <w:rsid w:val="000840FD"/>
    <w:rsid w:val="0008615F"/>
    <w:rsid w:val="00091A67"/>
    <w:rsid w:val="000935D5"/>
    <w:rsid w:val="000A6270"/>
    <w:rsid w:val="000E776E"/>
    <w:rsid w:val="000F14D6"/>
    <w:rsid w:val="00103571"/>
    <w:rsid w:val="001050F4"/>
    <w:rsid w:val="00127485"/>
    <w:rsid w:val="001276B4"/>
    <w:rsid w:val="0014187C"/>
    <w:rsid w:val="00155DF0"/>
    <w:rsid w:val="001675DF"/>
    <w:rsid w:val="001723BB"/>
    <w:rsid w:val="00175257"/>
    <w:rsid w:val="00184117"/>
    <w:rsid w:val="001864F9"/>
    <w:rsid w:val="00195EA5"/>
    <w:rsid w:val="001F0EDE"/>
    <w:rsid w:val="001F2BD3"/>
    <w:rsid w:val="00203FAD"/>
    <w:rsid w:val="00216B95"/>
    <w:rsid w:val="00226265"/>
    <w:rsid w:val="00226420"/>
    <w:rsid w:val="00226AAB"/>
    <w:rsid w:val="0023645E"/>
    <w:rsid w:val="00237A89"/>
    <w:rsid w:val="00244BFF"/>
    <w:rsid w:val="002509FE"/>
    <w:rsid w:val="0025247A"/>
    <w:rsid w:val="0025250E"/>
    <w:rsid w:val="00255D78"/>
    <w:rsid w:val="002607A9"/>
    <w:rsid w:val="00264EA9"/>
    <w:rsid w:val="00265D9A"/>
    <w:rsid w:val="002674B4"/>
    <w:rsid w:val="00271F05"/>
    <w:rsid w:val="00287496"/>
    <w:rsid w:val="00295CC9"/>
    <w:rsid w:val="002B08A6"/>
    <w:rsid w:val="002C1EC3"/>
    <w:rsid w:val="002D2CFB"/>
    <w:rsid w:val="002E1269"/>
    <w:rsid w:val="002F2D54"/>
    <w:rsid w:val="002F4C6E"/>
    <w:rsid w:val="00301087"/>
    <w:rsid w:val="003015AC"/>
    <w:rsid w:val="00305B27"/>
    <w:rsid w:val="00313228"/>
    <w:rsid w:val="003144B4"/>
    <w:rsid w:val="0031701D"/>
    <w:rsid w:val="00323534"/>
    <w:rsid w:val="00323739"/>
    <w:rsid w:val="003412E7"/>
    <w:rsid w:val="0034674F"/>
    <w:rsid w:val="00352AA8"/>
    <w:rsid w:val="00360374"/>
    <w:rsid w:val="00370501"/>
    <w:rsid w:val="00371D75"/>
    <w:rsid w:val="00371DC0"/>
    <w:rsid w:val="00373B3D"/>
    <w:rsid w:val="00380A07"/>
    <w:rsid w:val="00387E10"/>
    <w:rsid w:val="003916EB"/>
    <w:rsid w:val="00391FB7"/>
    <w:rsid w:val="003A1293"/>
    <w:rsid w:val="003A2877"/>
    <w:rsid w:val="003A7F04"/>
    <w:rsid w:val="003B7248"/>
    <w:rsid w:val="003B7A63"/>
    <w:rsid w:val="003C3B3C"/>
    <w:rsid w:val="003D4722"/>
    <w:rsid w:val="003D4901"/>
    <w:rsid w:val="003F1279"/>
    <w:rsid w:val="003F4441"/>
    <w:rsid w:val="003F7225"/>
    <w:rsid w:val="00413A04"/>
    <w:rsid w:val="00417D73"/>
    <w:rsid w:val="004416DF"/>
    <w:rsid w:val="00452B0F"/>
    <w:rsid w:val="004923DA"/>
    <w:rsid w:val="004A3A8F"/>
    <w:rsid w:val="004C2106"/>
    <w:rsid w:val="004C6CE1"/>
    <w:rsid w:val="004F3235"/>
    <w:rsid w:val="00502DD5"/>
    <w:rsid w:val="0050548C"/>
    <w:rsid w:val="00505859"/>
    <w:rsid w:val="00511272"/>
    <w:rsid w:val="00512F0C"/>
    <w:rsid w:val="0052378C"/>
    <w:rsid w:val="005348BB"/>
    <w:rsid w:val="005367DE"/>
    <w:rsid w:val="005415BF"/>
    <w:rsid w:val="005464F4"/>
    <w:rsid w:val="005604DD"/>
    <w:rsid w:val="00593FBF"/>
    <w:rsid w:val="005965E4"/>
    <w:rsid w:val="005A3026"/>
    <w:rsid w:val="005A3655"/>
    <w:rsid w:val="005C3A8A"/>
    <w:rsid w:val="005D016E"/>
    <w:rsid w:val="005D0920"/>
    <w:rsid w:val="005D1D2F"/>
    <w:rsid w:val="005D3789"/>
    <w:rsid w:val="005D64F8"/>
    <w:rsid w:val="005F32E3"/>
    <w:rsid w:val="005F7B10"/>
    <w:rsid w:val="0060043A"/>
    <w:rsid w:val="00606C03"/>
    <w:rsid w:val="0062679C"/>
    <w:rsid w:val="0063293E"/>
    <w:rsid w:val="006414C9"/>
    <w:rsid w:val="006511F3"/>
    <w:rsid w:val="006541DF"/>
    <w:rsid w:val="006640B1"/>
    <w:rsid w:val="00666635"/>
    <w:rsid w:val="00666960"/>
    <w:rsid w:val="00671FFA"/>
    <w:rsid w:val="00675102"/>
    <w:rsid w:val="006938AD"/>
    <w:rsid w:val="00696B51"/>
    <w:rsid w:val="00697CE5"/>
    <w:rsid w:val="006A20D1"/>
    <w:rsid w:val="006A59D9"/>
    <w:rsid w:val="006B4EBD"/>
    <w:rsid w:val="006C0F8F"/>
    <w:rsid w:val="006C4B74"/>
    <w:rsid w:val="006C522C"/>
    <w:rsid w:val="006D0179"/>
    <w:rsid w:val="006D2EB4"/>
    <w:rsid w:val="006D67BC"/>
    <w:rsid w:val="006D73B2"/>
    <w:rsid w:val="006D7C3A"/>
    <w:rsid w:val="006E4810"/>
    <w:rsid w:val="006E6A71"/>
    <w:rsid w:val="006F05F5"/>
    <w:rsid w:val="006F4D26"/>
    <w:rsid w:val="0070266D"/>
    <w:rsid w:val="007069CC"/>
    <w:rsid w:val="0072166A"/>
    <w:rsid w:val="00721D1D"/>
    <w:rsid w:val="007304B4"/>
    <w:rsid w:val="00737F43"/>
    <w:rsid w:val="007443D1"/>
    <w:rsid w:val="00746B84"/>
    <w:rsid w:val="0076783F"/>
    <w:rsid w:val="0077754B"/>
    <w:rsid w:val="0078015C"/>
    <w:rsid w:val="00783820"/>
    <w:rsid w:val="00792BA6"/>
    <w:rsid w:val="00795E44"/>
    <w:rsid w:val="007960DE"/>
    <w:rsid w:val="007A561B"/>
    <w:rsid w:val="007C2584"/>
    <w:rsid w:val="007D0C03"/>
    <w:rsid w:val="00800978"/>
    <w:rsid w:val="00800BD8"/>
    <w:rsid w:val="00807C6F"/>
    <w:rsid w:val="00812120"/>
    <w:rsid w:val="00812F0A"/>
    <w:rsid w:val="00827E96"/>
    <w:rsid w:val="00837C7D"/>
    <w:rsid w:val="008451EF"/>
    <w:rsid w:val="00845F10"/>
    <w:rsid w:val="00853F7C"/>
    <w:rsid w:val="0086298F"/>
    <w:rsid w:val="00885639"/>
    <w:rsid w:val="00895883"/>
    <w:rsid w:val="00895CAC"/>
    <w:rsid w:val="008978A1"/>
    <w:rsid w:val="008B1EDA"/>
    <w:rsid w:val="008C315D"/>
    <w:rsid w:val="008E1ABC"/>
    <w:rsid w:val="008E25A2"/>
    <w:rsid w:val="008E3922"/>
    <w:rsid w:val="008E61E6"/>
    <w:rsid w:val="008F77EB"/>
    <w:rsid w:val="009062B3"/>
    <w:rsid w:val="009237E6"/>
    <w:rsid w:val="00924969"/>
    <w:rsid w:val="0094305D"/>
    <w:rsid w:val="00944339"/>
    <w:rsid w:val="0095229E"/>
    <w:rsid w:val="00952E2D"/>
    <w:rsid w:val="00980A68"/>
    <w:rsid w:val="0098377F"/>
    <w:rsid w:val="009862BE"/>
    <w:rsid w:val="0098779A"/>
    <w:rsid w:val="009A7A65"/>
    <w:rsid w:val="009B1CF9"/>
    <w:rsid w:val="009B716D"/>
    <w:rsid w:val="009C2827"/>
    <w:rsid w:val="009C7C32"/>
    <w:rsid w:val="009D7065"/>
    <w:rsid w:val="009E1B77"/>
    <w:rsid w:val="009F3401"/>
    <w:rsid w:val="009F5694"/>
    <w:rsid w:val="00A03857"/>
    <w:rsid w:val="00A25BA6"/>
    <w:rsid w:val="00A329EB"/>
    <w:rsid w:val="00A508C6"/>
    <w:rsid w:val="00A61CCB"/>
    <w:rsid w:val="00A63B8A"/>
    <w:rsid w:val="00A648B7"/>
    <w:rsid w:val="00A673D3"/>
    <w:rsid w:val="00A72F5E"/>
    <w:rsid w:val="00A75FC8"/>
    <w:rsid w:val="00A85921"/>
    <w:rsid w:val="00A85EA2"/>
    <w:rsid w:val="00AA273C"/>
    <w:rsid w:val="00AB4F57"/>
    <w:rsid w:val="00AC0B9E"/>
    <w:rsid w:val="00AC1329"/>
    <w:rsid w:val="00AC7DF9"/>
    <w:rsid w:val="00AD6D3C"/>
    <w:rsid w:val="00AF6115"/>
    <w:rsid w:val="00B12216"/>
    <w:rsid w:val="00B138E7"/>
    <w:rsid w:val="00B17454"/>
    <w:rsid w:val="00B43E4C"/>
    <w:rsid w:val="00B52B8A"/>
    <w:rsid w:val="00B56266"/>
    <w:rsid w:val="00B568E8"/>
    <w:rsid w:val="00B6593A"/>
    <w:rsid w:val="00B72A43"/>
    <w:rsid w:val="00B763F4"/>
    <w:rsid w:val="00B77786"/>
    <w:rsid w:val="00B77EF7"/>
    <w:rsid w:val="00B9023C"/>
    <w:rsid w:val="00B92AE7"/>
    <w:rsid w:val="00B94210"/>
    <w:rsid w:val="00B94B31"/>
    <w:rsid w:val="00BA02ED"/>
    <w:rsid w:val="00BB341D"/>
    <w:rsid w:val="00BB64C4"/>
    <w:rsid w:val="00BB6C49"/>
    <w:rsid w:val="00BC531D"/>
    <w:rsid w:val="00BC5B68"/>
    <w:rsid w:val="00BE6E8F"/>
    <w:rsid w:val="00BF6896"/>
    <w:rsid w:val="00C00A54"/>
    <w:rsid w:val="00C15538"/>
    <w:rsid w:val="00C210DE"/>
    <w:rsid w:val="00C31D12"/>
    <w:rsid w:val="00C328A1"/>
    <w:rsid w:val="00C44C71"/>
    <w:rsid w:val="00C51C9B"/>
    <w:rsid w:val="00C7266C"/>
    <w:rsid w:val="00C967F5"/>
    <w:rsid w:val="00C9689B"/>
    <w:rsid w:val="00CA5DDB"/>
    <w:rsid w:val="00CC3AF2"/>
    <w:rsid w:val="00CC3D8E"/>
    <w:rsid w:val="00CC6F4D"/>
    <w:rsid w:val="00CC704D"/>
    <w:rsid w:val="00CF6995"/>
    <w:rsid w:val="00D04113"/>
    <w:rsid w:val="00D068ED"/>
    <w:rsid w:val="00D10B4B"/>
    <w:rsid w:val="00D14F1A"/>
    <w:rsid w:val="00D23921"/>
    <w:rsid w:val="00D2648E"/>
    <w:rsid w:val="00D27A40"/>
    <w:rsid w:val="00D36DC7"/>
    <w:rsid w:val="00D52E92"/>
    <w:rsid w:val="00D5526A"/>
    <w:rsid w:val="00D60217"/>
    <w:rsid w:val="00D61FAD"/>
    <w:rsid w:val="00D62FC9"/>
    <w:rsid w:val="00D6389F"/>
    <w:rsid w:val="00D71A5D"/>
    <w:rsid w:val="00D73C7D"/>
    <w:rsid w:val="00D80959"/>
    <w:rsid w:val="00D816EB"/>
    <w:rsid w:val="00D81915"/>
    <w:rsid w:val="00D84927"/>
    <w:rsid w:val="00D85B2E"/>
    <w:rsid w:val="00D87A99"/>
    <w:rsid w:val="00D96142"/>
    <w:rsid w:val="00D96E35"/>
    <w:rsid w:val="00DA0BE7"/>
    <w:rsid w:val="00DA35A3"/>
    <w:rsid w:val="00DA57D1"/>
    <w:rsid w:val="00DC12BB"/>
    <w:rsid w:val="00DD1833"/>
    <w:rsid w:val="00DD2C7A"/>
    <w:rsid w:val="00DD7450"/>
    <w:rsid w:val="00DE4773"/>
    <w:rsid w:val="00DE6223"/>
    <w:rsid w:val="00DE66A3"/>
    <w:rsid w:val="00DF1183"/>
    <w:rsid w:val="00DF2A39"/>
    <w:rsid w:val="00DF3E58"/>
    <w:rsid w:val="00E015C1"/>
    <w:rsid w:val="00E01CA3"/>
    <w:rsid w:val="00E06152"/>
    <w:rsid w:val="00E0637C"/>
    <w:rsid w:val="00E1112D"/>
    <w:rsid w:val="00E1591B"/>
    <w:rsid w:val="00E2263F"/>
    <w:rsid w:val="00E22EE0"/>
    <w:rsid w:val="00E232C8"/>
    <w:rsid w:val="00E2479A"/>
    <w:rsid w:val="00E52DBC"/>
    <w:rsid w:val="00E53D10"/>
    <w:rsid w:val="00E61EC9"/>
    <w:rsid w:val="00E73F62"/>
    <w:rsid w:val="00E85E35"/>
    <w:rsid w:val="00EA7C1D"/>
    <w:rsid w:val="00EB32FF"/>
    <w:rsid w:val="00ED435F"/>
    <w:rsid w:val="00EE38B8"/>
    <w:rsid w:val="00EF22E2"/>
    <w:rsid w:val="00F03885"/>
    <w:rsid w:val="00F13A96"/>
    <w:rsid w:val="00F149B0"/>
    <w:rsid w:val="00F17816"/>
    <w:rsid w:val="00F263E1"/>
    <w:rsid w:val="00F311FB"/>
    <w:rsid w:val="00F372C6"/>
    <w:rsid w:val="00F51759"/>
    <w:rsid w:val="00F533BB"/>
    <w:rsid w:val="00F56CCA"/>
    <w:rsid w:val="00F7147B"/>
    <w:rsid w:val="00F84BF0"/>
    <w:rsid w:val="00FA2EA8"/>
    <w:rsid w:val="00FA36D7"/>
    <w:rsid w:val="00FD75F2"/>
    <w:rsid w:val="00FF0EA0"/>
    <w:rsid w:val="00FF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0D35E2-67C6-4F05-AF68-3158CBEA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C44"/>
    <w:pPr>
      <w:spacing w:before="120" w:after="120" w:line="360" w:lineRule="auto"/>
    </w:pPr>
    <w:rPr>
      <w:rFonts w:ascii="Calibri" w:hAnsi="Calibri"/>
      <w:color w:val="000000"/>
      <w:sz w:val="22"/>
      <w:szCs w:val="24"/>
      <w:lang w:eastAsia="ja-JP"/>
    </w:rPr>
  </w:style>
  <w:style w:type="paragraph" w:styleId="Heading1">
    <w:name w:val="heading 1"/>
    <w:basedOn w:val="Normal"/>
    <w:next w:val="Normal"/>
    <w:qFormat/>
    <w:rsid w:val="00010C44"/>
    <w:pPr>
      <w:keepNext/>
      <w:spacing w:before="240" w:after="60"/>
      <w:outlineLvl w:val="0"/>
    </w:pPr>
    <w:rPr>
      <w:rFonts w:cs="Arial"/>
      <w:b/>
      <w:bCs/>
      <w:color w:val="1F497D"/>
      <w:kern w:val="32"/>
      <w:sz w:val="32"/>
      <w:szCs w:val="32"/>
    </w:rPr>
  </w:style>
  <w:style w:type="paragraph" w:styleId="Heading2">
    <w:name w:val="heading 2"/>
    <w:basedOn w:val="Normal"/>
    <w:next w:val="Normal"/>
    <w:qFormat/>
    <w:rsid w:val="00D61FAD"/>
    <w:pPr>
      <w:keepNext/>
      <w:spacing w:before="240" w:after="60"/>
      <w:outlineLvl w:val="1"/>
    </w:pPr>
    <w:rPr>
      <w:rFonts w:cs="Arial"/>
      <w:b/>
      <w:bCs/>
      <w:i/>
      <w:iCs/>
      <w:sz w:val="28"/>
      <w:szCs w:val="28"/>
    </w:rPr>
  </w:style>
  <w:style w:type="paragraph" w:styleId="Heading3">
    <w:name w:val="heading 3"/>
    <w:basedOn w:val="Normal"/>
    <w:next w:val="Normal"/>
    <w:qFormat/>
    <w:rsid w:val="00D61FAD"/>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1FAD"/>
    <w:pPr>
      <w:tabs>
        <w:tab w:val="center" w:pos="4320"/>
        <w:tab w:val="right" w:pos="8640"/>
      </w:tabs>
    </w:pPr>
  </w:style>
  <w:style w:type="paragraph" w:styleId="Footer">
    <w:name w:val="footer"/>
    <w:basedOn w:val="Normal"/>
    <w:rsid w:val="00D61FAD"/>
    <w:pPr>
      <w:tabs>
        <w:tab w:val="center" w:pos="4320"/>
        <w:tab w:val="right" w:pos="8640"/>
      </w:tabs>
    </w:pPr>
  </w:style>
  <w:style w:type="paragraph" w:styleId="Title">
    <w:name w:val="Title"/>
    <w:basedOn w:val="Normal"/>
    <w:qFormat/>
    <w:rsid w:val="00B77786"/>
    <w:pPr>
      <w:spacing w:before="240" w:after="60"/>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9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Articulate Engage Word Output</vt:lpstr>
    </vt:vector>
  </TitlesOfParts>
  <Company>Articulate</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Articulate Engage Word Output</dc:title>
  <dc:subject/>
  <dc:creator>Fleming, Colleen</dc:creator>
  <cp:keywords/>
  <dc:description/>
  <cp:lastModifiedBy>Fleming, Colleen</cp:lastModifiedBy>
  <cp:revision>4</cp:revision>
  <dcterms:created xsi:type="dcterms:W3CDTF">2014-02-05T22:35:00Z</dcterms:created>
  <dcterms:modified xsi:type="dcterms:W3CDTF">2014-02-05T22:44:00Z</dcterms:modified>
</cp:coreProperties>
</file>